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DC" w:rsidRDefault="000D0586" w:rsidP="005300DC">
      <w:pPr>
        <w:spacing w:line="360" w:lineRule="auto"/>
        <w:ind w:firstLine="708"/>
        <w:jc w:val="both"/>
      </w:pPr>
      <w:r>
        <w:t xml:space="preserve">Cukrzyca ciążowa (ang. </w:t>
      </w:r>
      <w:proofErr w:type="spellStart"/>
      <w:r>
        <w:t>Gestational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mellitus</w:t>
      </w:r>
      <w:proofErr w:type="spellEnd"/>
      <w:r>
        <w:t xml:space="preserve">, GDM), definiowana jako zaburzenia tolerancji glukozy ujawniające się w ciąży, jest najczęstszym powikłaniem metabolicznym tego okresu. Matczyna hiperglikemia wpływa na odpowiedź hormonalną płodu oraz syntezę insuliny, co ma kluczowe znaczenie dla jego rozwoju i może programować jego metabolizm. GDM zwiększa bowiem ryzyko wystąpienia otyłości, zespołu metabolicznego, cukrzycy typu 2 (DM2) i chorób układu sercowo-naczyniowego u potomstwa w późniejszym wieku. Szybkie rozpoznanie hiperglikemii w ciąży oraz skuteczne i bezpieczne (dla matki i płodu) terapie regulujące poziom glukozy matki są zatem kluczowe dla prawidłowego rozwoju i dojrzewania tkanek i narządów płodu. </w:t>
      </w:r>
      <w:proofErr w:type="spellStart"/>
      <w:r w:rsidRPr="005300DC">
        <w:t>Metformina</w:t>
      </w:r>
      <w:proofErr w:type="spellEnd"/>
      <w:r w:rsidRPr="005300DC">
        <w:rPr>
          <w:b/>
        </w:rPr>
        <w:t xml:space="preserve"> </w:t>
      </w:r>
      <w:r>
        <w:t xml:space="preserve">jest doustnym </w:t>
      </w:r>
      <w:proofErr w:type="spellStart"/>
      <w:r>
        <w:t>biguanidem</w:t>
      </w:r>
      <w:proofErr w:type="spellEnd"/>
      <w:r>
        <w:t xml:space="preserve">, który działa przede wszystkim przez hamowanie </w:t>
      </w:r>
      <w:proofErr w:type="spellStart"/>
      <w:r>
        <w:t>glukoneogenezy</w:t>
      </w:r>
      <w:proofErr w:type="spellEnd"/>
      <w:r>
        <w:t xml:space="preserve"> w wątrobie. Zwiększa także wychwyt glukozy w tkankach obwodowych i zmniejsza wchłanianie glukozy w przewodzie pokarmowym. </w:t>
      </w:r>
      <w:proofErr w:type="spellStart"/>
      <w:r>
        <w:t>Metformina</w:t>
      </w:r>
      <w:proofErr w:type="spellEnd"/>
      <w:r>
        <w:t xml:space="preserve"> nie wpływa bezpośrednio na wydzielanie insuliny dzięki czemu nie powoduje stanu hipoglikemii, co czyni ją bezpieczniejszą od innych leków na cukrzycę. </w:t>
      </w:r>
      <w:proofErr w:type="spellStart"/>
      <w:r>
        <w:t>Metformina</w:t>
      </w:r>
      <w:proofErr w:type="spellEnd"/>
      <w:r>
        <w:t xml:space="preserve"> stanowi obecnie tzw. złoty standard w leczeniu cukrzycy typu 2 oraz </w:t>
      </w:r>
      <w:proofErr w:type="spellStart"/>
      <w:r>
        <w:t>insulinooporności</w:t>
      </w:r>
      <w:proofErr w:type="spellEnd"/>
      <w:r>
        <w:t xml:space="preserve"> w wielu krajach i jest jednym z najczęściej przepisywanych leków na świecie. Stosowana jest również u kobiet cierpiących na z</w:t>
      </w:r>
      <w:r w:rsidR="005300DC">
        <w:t xml:space="preserve">espół </w:t>
      </w:r>
      <w:proofErr w:type="spellStart"/>
      <w:r w:rsidR="005300DC">
        <w:t>policystycznych</w:t>
      </w:r>
      <w:proofErr w:type="spellEnd"/>
      <w:r w:rsidR="005300DC">
        <w:t xml:space="preserve"> jajników. </w:t>
      </w:r>
      <w:r>
        <w:t>Coraz więcej uwagi budzi również jej potencjalna ak</w:t>
      </w:r>
      <w:r w:rsidR="005300DC">
        <w:t xml:space="preserve">tywność przeciwnowotworowa oraz przeciwstarzeniowa. </w:t>
      </w:r>
      <w:r>
        <w:t xml:space="preserve">Jednak leczenie cukrzycy ciążowej przy użyciu </w:t>
      </w:r>
      <w:proofErr w:type="spellStart"/>
      <w:r>
        <w:t>metforminy</w:t>
      </w:r>
      <w:proofErr w:type="spellEnd"/>
      <w:r>
        <w:t xml:space="preserve"> jest dy</w:t>
      </w:r>
      <w:r w:rsidR="005300DC">
        <w:t xml:space="preserve">skusyjne. Polskie </w:t>
      </w:r>
      <w:r>
        <w:t xml:space="preserve">Towarzystwo Diabetologiczne od wielu lat podtrzymuje </w:t>
      </w:r>
      <w:r w:rsidR="005300DC">
        <w:t xml:space="preserve">brak rekomendacji do stosowania </w:t>
      </w:r>
      <w:proofErr w:type="spellStart"/>
      <w:r>
        <w:t>metforminy</w:t>
      </w:r>
      <w:proofErr w:type="spellEnd"/>
      <w:r>
        <w:t xml:space="preserve"> u kobiet ciężarnych. W przeciwieństwie do ins</w:t>
      </w:r>
      <w:r w:rsidR="005300DC">
        <w:t xml:space="preserve">uliny </w:t>
      </w:r>
      <w:proofErr w:type="spellStart"/>
      <w:r w:rsidR="005300DC">
        <w:t>metformina</w:t>
      </w:r>
      <w:proofErr w:type="spellEnd"/>
      <w:r w:rsidR="005300DC">
        <w:t xml:space="preserve"> przenika przez </w:t>
      </w:r>
      <w:r>
        <w:t xml:space="preserve">łożysko i występuje w klinicznie istotnych stężeniach w tkankach </w:t>
      </w:r>
      <w:r w:rsidR="005300DC">
        <w:t xml:space="preserve">płodu i łożyska co oznacza, </w:t>
      </w:r>
      <w:r>
        <w:t>że może potencjalnie wpływać na rozwijający się płód. Brak jest również badań nad</w:t>
      </w:r>
      <w:r w:rsidR="005300DC">
        <w:t xml:space="preserve"> </w:t>
      </w:r>
      <w:r>
        <w:t xml:space="preserve">długofalowymi skutkami prenatalnej ekspozycji na </w:t>
      </w:r>
      <w:proofErr w:type="spellStart"/>
      <w:r>
        <w:t>metfo</w:t>
      </w:r>
      <w:r w:rsidR="005300DC">
        <w:t>rminę</w:t>
      </w:r>
      <w:proofErr w:type="spellEnd"/>
      <w:r w:rsidR="005300DC">
        <w:t xml:space="preserve">. Dostępne dane pochodzą z </w:t>
      </w:r>
      <w:r>
        <w:t>badań dzieci co nie pozwala na określenie pełnego ryzyka cho</w:t>
      </w:r>
      <w:r w:rsidR="005300DC">
        <w:t xml:space="preserve">rób, w tym zaburzeń </w:t>
      </w:r>
      <w:r>
        <w:t>metabolicznych ujawniających się dopiero w czwa</w:t>
      </w:r>
      <w:r w:rsidR="005300DC">
        <w:t xml:space="preserve">rtej lub piątej dekadzie życia. </w:t>
      </w:r>
      <w:r>
        <w:t xml:space="preserve">Celem projektu jest zbadanie wpływu leczenia </w:t>
      </w:r>
      <w:proofErr w:type="spellStart"/>
      <w:r>
        <w:t>m</w:t>
      </w:r>
      <w:r w:rsidR="005300DC">
        <w:t>etforminą</w:t>
      </w:r>
      <w:proofErr w:type="spellEnd"/>
      <w:r w:rsidR="005300DC">
        <w:t xml:space="preserve"> w ciąży i laktacji na </w:t>
      </w:r>
      <w:r>
        <w:t xml:space="preserve">trajektorię rozwoju potomstwa i możliwe zmiany w jego </w:t>
      </w:r>
      <w:proofErr w:type="spellStart"/>
      <w:r>
        <w:t>epigenomie</w:t>
      </w:r>
      <w:proofErr w:type="spellEnd"/>
      <w:r>
        <w:t xml:space="preserve">. </w:t>
      </w:r>
    </w:p>
    <w:p w:rsidR="00D308B9" w:rsidRDefault="000D0586" w:rsidP="00A34ED6">
      <w:pPr>
        <w:spacing w:line="360" w:lineRule="auto"/>
        <w:jc w:val="both"/>
      </w:pPr>
      <w:bookmarkStart w:id="0" w:name="_GoBack"/>
      <w:bookmarkEnd w:id="0"/>
      <w:r>
        <w:t xml:space="preserve">Autorka projektu ma nadzieję, że uzyskane wyniki przyczynią </w:t>
      </w:r>
      <w:r w:rsidR="005300DC">
        <w:t xml:space="preserve">się do zrozumienia </w:t>
      </w:r>
      <w:r>
        <w:t xml:space="preserve">niezbadanego do tej pory, wpływu leczenia </w:t>
      </w:r>
      <w:proofErr w:type="spellStart"/>
      <w:r>
        <w:t>metforminą</w:t>
      </w:r>
      <w:proofErr w:type="spellEnd"/>
      <w:r>
        <w:t xml:space="preserve"> kobi</w:t>
      </w:r>
      <w:r w:rsidR="005300DC">
        <w:t xml:space="preserve">et w ciąży na zdrowie potomstwa </w:t>
      </w:r>
      <w:r>
        <w:t>w wieku dorosłym i zostaną wykorzystane do opracowania s</w:t>
      </w:r>
      <w:r w:rsidR="005300DC">
        <w:t xml:space="preserve">kutecznej i bezpiecznej terapii </w:t>
      </w:r>
      <w:r>
        <w:t>cukrzycy ciążowej.</w:t>
      </w:r>
    </w:p>
    <w:sectPr w:rsidR="00D3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86"/>
    <w:rsid w:val="000D0586"/>
    <w:rsid w:val="0045488D"/>
    <w:rsid w:val="005300DC"/>
    <w:rsid w:val="00A34ED6"/>
    <w:rsid w:val="00B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353"/>
  <w15:chartTrackingRefBased/>
  <w15:docId w15:val="{9512597D-B9C2-4858-A23D-8B19ACFA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Słupecka-Ziemilska</dc:creator>
  <cp:keywords/>
  <dc:description/>
  <cp:lastModifiedBy>Dorota Seidler</cp:lastModifiedBy>
  <cp:revision>2</cp:revision>
  <dcterms:created xsi:type="dcterms:W3CDTF">2023-02-28T15:34:00Z</dcterms:created>
  <dcterms:modified xsi:type="dcterms:W3CDTF">2023-02-28T15:34:00Z</dcterms:modified>
</cp:coreProperties>
</file>