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ZAŁĄCZNIK NR 1</w:t>
      </w:r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– DZIAŁANIA WYKLUCZONE NA PODSTAWIE OBOWIĄZUJĄCYCH PRZEPISÓW PRAWA</w:t>
      </w:r>
    </w:p>
    <w:p w:rsidR="00000000" w:rsidDel="00000000" w:rsidP="00000000" w:rsidRDefault="00000000" w:rsidRPr="00000000" w14:paraId="0000000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Wykluczenia związane są przede wszystkim ze środkami podjętymi w związku z agresją Rosji wobec Ukrainy i dotyczą przede wszystkim podmiotów rosyjskich, białoruskich i ukraińskich.</w:t>
      </w:r>
    </w:p>
    <w:p w:rsidR="00000000" w:rsidDel="00000000" w:rsidP="00000000" w:rsidRDefault="00000000" w:rsidRPr="00000000" w14:paraId="0000000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Należy zapewnić, że otrzymane dofinansowanie (środki finansowe, zasoby gospodarcze, jakiekolwiek korzyści) nie zostanie przeznaczone na działalność zakazaną na podstawie aktów prawa unijnego, w tym wskazanym poniżej osobom fizycznym lub prawnym, podmiotom lub organom, ani na ich rzecz, jak również powiązanym z nimi osobom fizycznym lub prawnym, podmiotom lub organom, ani na ich rzecz:</w:t>
      </w:r>
    </w:p>
    <w:p w:rsidR="00000000" w:rsidDel="00000000" w:rsidP="00000000" w:rsidRDefault="00000000" w:rsidRPr="00000000" w14:paraId="0000000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art. 2 i 3 </w:t>
      </w:r>
      <w:hyperlink r:id="rId7">
        <w:r w:rsidDel="00000000" w:rsidR="00000000" w:rsidRPr="00000000">
          <w:rPr>
            <w:b w:val="1"/>
            <w:bCs w:val="1"/>
            <w:color w:val="000000"/>
            <w:u w:val="single"/>
            <w:rtl w:val="0"/>
          </w:rPr>
          <w:t xml:space="preserve">Ustawy z dn. 13.04.2022 </w:t>
        </w:r>
      </w:hyperlink>
      <w:hyperlink r:id="rId8">
        <w:r w:rsidDel="00000000" w:rsidR="00000000" w:rsidRPr="00000000">
          <w:rPr>
            <w:color w:val="000000"/>
            <w:u w:val="single"/>
            <w:rtl w:val="0"/>
          </w:rPr>
          <w:t xml:space="preserve">o szczególnych rozwiązaniach w zakresie przeciwdziałania wspieraniu agresji na Ukrainę oraz służących ochronie bezpieczeństwa narodowego</w:t>
        </w:r>
      </w:hyperlink>
      <w:r w:rsidDel="00000000" w:rsidR="00000000" w:rsidRPr="00000000">
        <w:rPr>
          <w:color w:val="000000"/>
          <w:u w:val="single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ind w:left="360" w:firstLine="0"/>
        <w:jc w:val="both"/>
        <w:rPr>
          <w:color w:val="000000"/>
        </w:rPr>
      </w:pPr>
      <w:hyperlink r:id="rId9">
        <w:r w:rsidDel="00000000" w:rsidR="00000000" w:rsidRPr="00000000">
          <w:rPr>
            <w:color w:val="000000"/>
            <w:u w:val="single"/>
            <w:rtl w:val="0"/>
          </w:rPr>
          <w:t xml:space="preserve">LISTA SANKCYJNA</w:t>
        </w:r>
      </w:hyperlink>
      <w:r w:rsidDel="00000000" w:rsidR="00000000" w:rsidRPr="00000000">
        <w:rPr>
          <w:color w:val="000000"/>
          <w:u w:val="single"/>
          <w:rtl w:val="0"/>
        </w:rPr>
        <w:t xml:space="preserve">:</w:t>
      </w:r>
      <w:r w:rsidDel="00000000" w:rsidR="00000000" w:rsidRPr="00000000">
        <w:rPr>
          <w:color w:val="000000"/>
          <w:rtl w:val="0"/>
        </w:rPr>
        <w:t xml:space="preserve"> </w:t>
      </w:r>
      <w:hyperlink r:id="rId10">
        <w:r w:rsidDel="00000000" w:rsidR="00000000" w:rsidRPr="00000000">
          <w:rPr>
            <w:color w:val="000000"/>
            <w:u w:val="single"/>
            <w:rtl w:val="0"/>
          </w:rPr>
          <w:t xml:space="preserve">https://www.gov.pl/attachment/74accf9c-0933-42f4-afb7-adaf21c0f8c4</w:t>
        </w:r>
      </w:hyperlink>
      <w:r w:rsidDel="00000000" w:rsidR="00000000" w:rsidRPr="00000000">
        <w:rPr>
          <w:color w:val="000000"/>
          <w:rtl w:val="0"/>
        </w:rPr>
        <w:t xml:space="preserve"> (XLS)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art. 2 </w:t>
      </w:r>
      <w:hyperlink r:id="rId11">
        <w:r w:rsidDel="00000000" w:rsidR="00000000" w:rsidRPr="00000000">
          <w:rPr>
            <w:b w:val="1"/>
            <w:bCs w:val="1"/>
            <w:color w:val="000000"/>
            <w:u w:val="single"/>
            <w:rtl w:val="0"/>
          </w:rPr>
          <w:t xml:space="preserve">Rozporządzenia Rady (WE) nr 765/2006 z dn. 18.05.2006</w:t>
        </w:r>
      </w:hyperlink>
      <w:hyperlink r:id="rId12">
        <w:r w:rsidDel="00000000" w:rsidR="00000000" w:rsidRPr="00000000">
          <w:rPr>
            <w:color w:val="000000"/>
            <w:u w:val="single"/>
            <w:rtl w:val="0"/>
          </w:rPr>
          <w:t xml:space="preserve"> dot. środków ograniczających w związku z sytuacją na Białorusi i udziałem Białorusi w agresji Rosji wobec Ukrainy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ZAŁĄCZNIK: </w:t>
      </w:r>
      <w:hyperlink r:id="rId13">
        <w:r w:rsidDel="00000000" w:rsidR="00000000" w:rsidRPr="00000000">
          <w:rPr>
            <w:color w:val="000000"/>
            <w:u w:val="single"/>
            <w:rtl w:val="0"/>
          </w:rPr>
          <w:t xml:space="preserve">https://eur-lex.europa.eu/legal-content/PL/TXT/HTML/?uri=CELEX:02006R0765-20240913#anx_I</w:t>
        </w:r>
      </w:hyperlink>
      <w:r w:rsidDel="00000000" w:rsidR="00000000" w:rsidRPr="00000000">
        <w:rPr>
          <w:color w:val="000000"/>
          <w:rtl w:val="0"/>
        </w:rPr>
        <w:t xml:space="preserve"> 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art. 2 i art. 9 </w:t>
      </w:r>
      <w:hyperlink r:id="rId14">
        <w:r w:rsidDel="00000000" w:rsidR="00000000" w:rsidRPr="00000000">
          <w:rPr>
            <w:b w:val="1"/>
            <w:bCs w:val="1"/>
            <w:color w:val="000000"/>
            <w:u w:val="single"/>
            <w:rtl w:val="0"/>
          </w:rPr>
          <w:t xml:space="preserve">Rozporządzenia Rady (UE) nr 208/2014 z dn. 05.03.2014</w:t>
        </w:r>
      </w:hyperlink>
      <w:hyperlink r:id="rId15">
        <w:r w:rsidDel="00000000" w:rsidR="00000000" w:rsidRPr="00000000">
          <w:rPr>
            <w:color w:val="000000"/>
            <w:u w:val="single"/>
            <w:rtl w:val="0"/>
          </w:rPr>
          <w:t xml:space="preserve"> ws. środków ograniczających skierowanych przeciwko niektórym osobom, podmiotom i organom w związku z sytuacją na Ukrainie</w:t>
        </w:r>
      </w:hyperlink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ZAŁĄCZNIK: </w:t>
      </w:r>
      <w:hyperlink r:id="rId16">
        <w:r w:rsidDel="00000000" w:rsidR="00000000" w:rsidRPr="00000000">
          <w:rPr>
            <w:color w:val="000000"/>
            <w:u w:val="single"/>
            <w:rtl w:val="0"/>
          </w:rPr>
          <w:t xml:space="preserve">https://eur-lex.europa.eu/legal-content/PL/TXT/HTML/?uri=CELEX:32014R0208#d1e32-6-1</w:t>
        </w:r>
      </w:hyperlink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art. 2 i art. 9 </w:t>
      </w:r>
      <w:hyperlink r:id="rId17">
        <w:r w:rsidDel="00000000" w:rsidR="00000000" w:rsidRPr="00000000">
          <w:rPr>
            <w:b w:val="1"/>
            <w:bCs w:val="1"/>
            <w:color w:val="000000"/>
            <w:u w:val="single"/>
            <w:rtl w:val="0"/>
          </w:rPr>
          <w:t xml:space="preserve">Rozporządzenia Rady (UE) nr 269/2014 z dn. 17.03.2014</w:t>
        </w:r>
      </w:hyperlink>
      <w:hyperlink r:id="rId18">
        <w:r w:rsidDel="00000000" w:rsidR="00000000" w:rsidRPr="00000000">
          <w:rPr>
            <w:color w:val="000000"/>
            <w:u w:val="single"/>
            <w:rtl w:val="0"/>
          </w:rPr>
          <w:t xml:space="preserve"> ws. środków ograniczających w odniesieniu do działań podważających integralność terytorialną, suwerenność i niezależność Ukrainy lub im zagrażających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ZAŁĄCZNIK:  </w:t>
      </w:r>
      <w:hyperlink r:id="rId19">
        <w:r w:rsidDel="00000000" w:rsidR="00000000" w:rsidRPr="00000000">
          <w:rPr>
            <w:color w:val="000000"/>
            <w:u w:val="single"/>
            <w:rtl w:val="0"/>
          </w:rPr>
          <w:t xml:space="preserve">https://eur-lex.europa.eu/legal-content/PL/TXT/HTML/?uri=CELEX:32014R0269#d1e32-11-1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art. 5 </w:t>
      </w:r>
      <w:hyperlink r:id="rId20">
        <w:r w:rsidDel="00000000" w:rsidR="00000000" w:rsidRPr="00000000">
          <w:rPr>
            <w:b w:val="1"/>
            <w:bCs w:val="1"/>
            <w:color w:val="000000"/>
            <w:u w:val="single"/>
            <w:rtl w:val="0"/>
          </w:rPr>
          <w:t xml:space="preserve">Rozporządzenia Rady (UE) nr 833/2014 z dn. 31.07.2014</w:t>
        </w:r>
      </w:hyperlink>
      <w:hyperlink r:id="rId21">
        <w:r w:rsidDel="00000000" w:rsidR="00000000" w:rsidRPr="00000000">
          <w:rPr>
            <w:color w:val="000000"/>
            <w:u w:val="single"/>
            <w:rtl w:val="0"/>
          </w:rPr>
          <w:t xml:space="preserve"> dot. środków ograniczających w związku z działaniami Rosji destabilizującymi sytuację na Ukrainie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ZAŁĄCZNIK: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hyperlink r:id="rId22">
        <w:r w:rsidDel="00000000" w:rsidR="00000000" w:rsidRPr="00000000">
          <w:rPr>
            <w:color w:val="000000"/>
            <w:u w:val="single"/>
            <w:rtl w:val="0"/>
          </w:rPr>
          <w:t xml:space="preserve">https://eur-lex.europa.eu/legal-content/PL/TXT/HTML/?uri=CELEX:32014R0833#d1e32-11-1</w:t>
        </w:r>
      </w:hyperlink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art. 2 </w:t>
      </w:r>
      <w:hyperlink r:id="rId23">
        <w:r w:rsidDel="00000000" w:rsidR="00000000" w:rsidRPr="00000000">
          <w:rPr>
            <w:b w:val="1"/>
            <w:bCs w:val="1"/>
            <w:color w:val="000000"/>
            <w:u w:val="single"/>
            <w:rtl w:val="0"/>
          </w:rPr>
          <w:t xml:space="preserve">Decyzji Rady 2014/145/WPZiB z dn. 17.03.2014</w:t>
        </w:r>
      </w:hyperlink>
      <w:hyperlink r:id="rId24">
        <w:r w:rsidDel="00000000" w:rsidR="00000000" w:rsidRPr="00000000">
          <w:rPr>
            <w:color w:val="000000"/>
            <w:u w:val="single"/>
            <w:rtl w:val="0"/>
          </w:rPr>
          <w:t xml:space="preserve"> ws. środków ograniczających w związku z działaniami podważającymi integralność terytorialną, suwerenność i niezależność Ukrainy lub im zagrażającymi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ZAŁĄCZNIK:  </w:t>
      </w:r>
      <w:hyperlink r:id="rId25">
        <w:r w:rsidDel="00000000" w:rsidR="00000000" w:rsidRPr="00000000">
          <w:rPr>
            <w:color w:val="000000"/>
            <w:u w:val="single"/>
            <w:rtl w:val="0"/>
          </w:rPr>
          <w:t xml:space="preserve">https://eur-lex.europa.eu/legal-content/PL/TXT/HTML/?uri=CELEX:32014D0145#d1e32-19-1</w:t>
        </w:r>
      </w:hyperlink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ind w:left="360" w:hanging="360"/>
        <w:jc w:val="both"/>
        <w:rPr>
          <w:b w:val="1"/>
          <w:bCs w:val="1"/>
          <w:color w:val="000000"/>
        </w:rPr>
      </w:pPr>
      <w:hyperlink r:id="rId26">
        <w:r w:rsidDel="00000000" w:rsidR="00000000" w:rsidRPr="00000000">
          <w:rPr>
            <w:b w:val="1"/>
            <w:bCs w:val="1"/>
            <w:color w:val="000000"/>
            <w:u w:val="single"/>
            <w:rtl w:val="0"/>
          </w:rPr>
          <w:t xml:space="preserve">Decyzja Rady 2012/642/WPZiB z dn. 15.10.2012</w:t>
        </w:r>
      </w:hyperlink>
      <w:hyperlink r:id="rId27">
        <w:r w:rsidDel="00000000" w:rsidR="00000000" w:rsidRPr="00000000">
          <w:rPr>
            <w:color w:val="000000"/>
            <w:u w:val="single"/>
            <w:rtl w:val="0"/>
          </w:rPr>
          <w:t xml:space="preserve"> dot. środków ograniczających skierowanych przeciwko Białorusi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ZAŁĄCZNIK: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hyperlink r:id="rId28">
        <w:r w:rsidDel="00000000" w:rsidR="00000000" w:rsidRPr="00000000">
          <w:rPr>
            <w:color w:val="000000"/>
            <w:u w:val="single"/>
            <w:rtl w:val="0"/>
          </w:rPr>
          <w:t xml:space="preserve">https://eur-lex.europa.eu/legal-content/PL/TXT/HTML/?uri=CELEX:32012D0642#d1e32-5-1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Ograniczenia dotyczą również potencjalnego udostępniania towarów, usług, technologii oraz wymiany wiedzy i doświadczeń, a także możliwości współpracy z określonymi podmiotami i osobami:</w:t>
      </w:r>
    </w:p>
    <w:p w:rsidR="00000000" w:rsidDel="00000000" w:rsidP="00000000" w:rsidRDefault="00000000" w:rsidRPr="00000000" w14:paraId="0000001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ind w:left="360" w:hanging="360"/>
        <w:jc w:val="both"/>
        <w:rPr>
          <w:color w:val="000000"/>
        </w:rPr>
      </w:pPr>
      <w:hyperlink r:id="rId29">
        <w:r w:rsidDel="00000000" w:rsidR="00000000" w:rsidRPr="00000000">
          <w:rPr>
            <w:b w:val="1"/>
            <w:bCs w:val="1"/>
            <w:color w:val="000000"/>
            <w:u w:val="single"/>
            <w:rtl w:val="0"/>
          </w:rPr>
          <w:t xml:space="preserve">Rozporządzenie Rady (UE) nr 692/2014 z dn. 23.06.2014</w:t>
        </w:r>
      </w:hyperlink>
      <w:hyperlink r:id="rId30">
        <w:r w:rsidDel="00000000" w:rsidR="00000000" w:rsidRPr="00000000">
          <w:rPr>
            <w:color w:val="000000"/>
            <w:u w:val="single"/>
            <w:rtl w:val="0"/>
          </w:rPr>
          <w:t xml:space="preserve"> ws. środków ograniczających w odpowiedzi na bezprawne przyłączenie Krymu i Sewastopola</w:t>
        </w:r>
      </w:hyperlink>
      <w:r w:rsidDel="00000000" w:rsidR="00000000" w:rsidRPr="00000000">
        <w:rPr>
          <w:color w:val="000000"/>
          <w:u w:val="single"/>
          <w:rtl w:val="0"/>
        </w:rPr>
        <w:t xml:space="preserve"> - </w:t>
      </w:r>
      <w:r w:rsidDel="00000000" w:rsidR="00000000" w:rsidRPr="00000000">
        <w:rPr>
          <w:color w:val="000000"/>
          <w:rtl w:val="0"/>
        </w:rPr>
        <w:t xml:space="preserve">Ograniczenie dotyczy towarów pochodzących z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Krymu lub Sewastopola</w:t>
      </w:r>
      <w:r w:rsidDel="00000000" w:rsidR="00000000" w:rsidRPr="00000000">
        <w:rPr>
          <w:color w:val="000000"/>
          <w:rtl w:val="0"/>
        </w:rPr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ind w:left="360" w:hanging="360"/>
        <w:jc w:val="both"/>
        <w:rPr>
          <w:color w:val="000000"/>
        </w:rPr>
      </w:pPr>
      <w:hyperlink r:id="rId31">
        <w:r w:rsidDel="00000000" w:rsidR="00000000" w:rsidRPr="00000000">
          <w:rPr>
            <w:b w:val="1"/>
            <w:bCs w:val="1"/>
            <w:color w:val="000000"/>
            <w:u w:val="single"/>
            <w:rtl w:val="0"/>
          </w:rPr>
          <w:t xml:space="preserve">Rozporządzenia Rady (UE) 2022/263 z dn. 23.02.2022</w:t>
        </w:r>
      </w:hyperlink>
      <w:hyperlink r:id="rId32">
        <w:r w:rsidDel="00000000" w:rsidR="00000000" w:rsidRPr="00000000">
          <w:rPr>
            <w:color w:val="000000"/>
            <w:u w:val="single"/>
            <w:rtl w:val="0"/>
          </w:rPr>
          <w:t xml:space="preserve"> ws. środków ograniczających w odpowiedzi na uznanie niekontrolowanych przez rząd obszarów ukraińskich obwodów donieckiego i ługańskiego oraz nakazanie rozmieszczenia rosyjskich sił zbrojnych na tych obszarach</w:t>
        </w:r>
      </w:hyperlink>
      <w:r w:rsidDel="00000000" w:rsidR="00000000" w:rsidRPr="00000000">
        <w:rPr>
          <w:color w:val="000000"/>
          <w:rtl w:val="0"/>
        </w:rPr>
        <w:t xml:space="preserve"> [ENG], </w:t>
      </w:r>
      <w:hyperlink r:id="rId33">
        <w:r w:rsidDel="00000000" w:rsidR="00000000" w:rsidRPr="00000000">
          <w:rPr>
            <w:b w:val="1"/>
            <w:bCs w:val="1"/>
            <w:color w:val="000000"/>
            <w:u w:val="single"/>
            <w:rtl w:val="0"/>
          </w:rPr>
          <w:t xml:space="preserve">Decyzja Rady (WPZiB) 2022/266 z dn. 23.02. 2022 </w:t>
        </w:r>
      </w:hyperlink>
      <w:hyperlink r:id="rId34">
        <w:r w:rsidDel="00000000" w:rsidR="00000000" w:rsidRPr="00000000">
          <w:rPr>
            <w:color w:val="000000"/>
            <w:u w:val="single"/>
            <w:rtl w:val="0"/>
          </w:rPr>
          <w:t xml:space="preserve">ws. środków ograniczających w odpowiedzi na uznanie niekontrolowanych przez rząd obszarów ukraińskich obwodów donieckiego i ługańskiego oraz nakazanie rozmieszczenia rosyjskich sił zbrojnych na tych obszarach</w:t>
        </w:r>
      </w:hyperlink>
      <w:r w:rsidDel="00000000" w:rsidR="00000000" w:rsidRPr="00000000">
        <w:rPr>
          <w:color w:val="000000"/>
          <w:rtl w:val="0"/>
        </w:rPr>
        <w:t xml:space="preserve"> oraz </w:t>
      </w:r>
      <w:hyperlink r:id="rId35">
        <w:r w:rsidDel="00000000" w:rsidR="00000000" w:rsidRPr="00000000">
          <w:rPr>
            <w:b w:val="1"/>
            <w:bCs w:val="1"/>
            <w:color w:val="000000"/>
            <w:u w:val="single"/>
            <w:rtl w:val="0"/>
          </w:rPr>
          <w:t xml:space="preserve">Decyzja Rady (WPZiB) 2024/633 z dn. 19.02.2024 </w:t>
        </w:r>
      </w:hyperlink>
      <w:hyperlink r:id="rId36">
        <w:r w:rsidDel="00000000" w:rsidR="00000000" w:rsidRPr="00000000">
          <w:rPr>
            <w:color w:val="000000"/>
            <w:u w:val="single"/>
            <w:rtl w:val="0"/>
          </w:rPr>
          <w:t xml:space="preserve">zmieniająca decyzję (WPZiB) 2022/266 ws. środków ograniczających w odpowiedzi na nielegalne uznanie, okupację lub aneksję przez Federację Rosyjską niektórych niekontrolowanych przez rząd obszarów Ukrainy</w:t>
        </w:r>
      </w:hyperlink>
      <w:r w:rsidDel="00000000" w:rsidR="00000000" w:rsidRPr="00000000">
        <w:rPr>
          <w:color w:val="000000"/>
          <w:u w:val="single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– Ograniczenie dotyczy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towarów i technologii</w:t>
      </w:r>
      <w:r w:rsidDel="00000000" w:rsidR="00000000" w:rsidRPr="00000000">
        <w:rPr>
          <w:color w:val="000000"/>
          <w:rtl w:val="0"/>
        </w:rPr>
        <w:t xml:space="preserve"> (nadających się do wykorzystania w kluczowych sektorach: transport; telekomunikacja; energetyka; poszukiwanie, badanie i wydobywanie ropy naftowej, gazu ziemnego i surowców mineralnych) pochodzących z  obszarów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obwodu donieckiego, ługańskiego, chersońskiego, zaporoskiego </w:t>
      </w:r>
      <w:r w:rsidDel="00000000" w:rsidR="00000000" w:rsidRPr="00000000">
        <w:rPr>
          <w:color w:val="000000"/>
          <w:rtl w:val="0"/>
        </w:rPr>
        <w:t xml:space="preserve">lub wykorzystywanych na ww. terytoriach; a także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finansowania</w:t>
      </w:r>
      <w:r w:rsidDel="00000000" w:rsidR="00000000" w:rsidRPr="00000000">
        <w:rPr>
          <w:color w:val="000000"/>
          <w:rtl w:val="0"/>
        </w:rPr>
        <w:t xml:space="preserve"> lub podejmowania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wspólnych przedsięwzięć</w:t>
      </w:r>
      <w:r w:rsidDel="00000000" w:rsidR="00000000" w:rsidRPr="00000000">
        <w:rPr>
          <w:color w:val="000000"/>
          <w:rtl w:val="0"/>
        </w:rPr>
        <w:t xml:space="preserve"> z podmiotem na ww. terytoriach</w:t>
      </w:r>
    </w:p>
    <w:p w:rsidR="00000000" w:rsidDel="00000000" w:rsidP="00000000" w:rsidRDefault="00000000" w:rsidRPr="00000000" w14:paraId="0000001E">
      <w:pPr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ZAŁĄCZNIK: </w:t>
      </w:r>
      <w:hyperlink r:id="rId37">
        <w:r w:rsidDel="00000000" w:rsidR="00000000" w:rsidRPr="00000000">
          <w:rPr>
            <w:color w:val="000000"/>
            <w:u w:val="single"/>
            <w:rtl w:val="0"/>
          </w:rPr>
          <w:t xml:space="preserve">https://eur-lex.europa.eu/legal-content/PL/TXT/HTML/?uri=CELEX:32022R0263#fnp_1</w:t>
        </w:r>
      </w:hyperlink>
      <w:r w:rsidDel="00000000" w:rsidR="00000000" w:rsidRPr="00000000">
        <w:rPr>
          <w:color w:val="000000"/>
          <w:rtl w:val="0"/>
        </w:rPr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360" w:hanging="360"/>
        <w:jc w:val="both"/>
        <w:rPr>
          <w:b w:val="1"/>
          <w:bCs w:val="1"/>
          <w:color w:val="000000"/>
        </w:rPr>
      </w:pPr>
      <w:hyperlink r:id="rId38">
        <w:r w:rsidDel="00000000" w:rsidR="00000000" w:rsidRPr="00000000">
          <w:rPr>
            <w:b w:val="1"/>
            <w:bCs w:val="1"/>
            <w:color w:val="000000"/>
            <w:u w:val="single"/>
            <w:rtl w:val="0"/>
          </w:rPr>
          <w:t xml:space="preserve">Rozporządzenia Rady (UE) nr 833/2014 z dn. 31.07.2014</w:t>
        </w:r>
      </w:hyperlink>
      <w:hyperlink r:id="rId39">
        <w:r w:rsidDel="00000000" w:rsidR="00000000" w:rsidRPr="00000000">
          <w:rPr>
            <w:color w:val="000000"/>
            <w:u w:val="single"/>
            <w:rtl w:val="0"/>
          </w:rPr>
          <w:t xml:space="preserve"> dot. środków ograniczających w związku z działaniami Rosji destabilizującymi sytuację na Ukrainie</w:t>
        </w:r>
      </w:hyperlink>
      <w:r w:rsidDel="00000000" w:rsidR="00000000" w:rsidRPr="00000000">
        <w:rPr>
          <w:color w:val="000000"/>
          <w:rtl w:val="0"/>
        </w:rPr>
        <w:t xml:space="preserve"> oraz </w:t>
      </w:r>
      <w:hyperlink r:id="rId40">
        <w:r w:rsidDel="00000000" w:rsidR="00000000" w:rsidRPr="00000000">
          <w:rPr>
            <w:b w:val="1"/>
            <w:bCs w:val="1"/>
            <w:color w:val="000000"/>
            <w:u w:val="single"/>
            <w:rtl w:val="0"/>
          </w:rPr>
          <w:t xml:space="preserve">Decyzja Rady 2014/512/WPZiB z dn. 31.07.2014</w:t>
        </w:r>
      </w:hyperlink>
      <w:hyperlink r:id="rId41">
        <w:r w:rsidDel="00000000" w:rsidR="00000000" w:rsidRPr="00000000">
          <w:rPr>
            <w:color w:val="000000"/>
            <w:u w:val="single"/>
            <w:rtl w:val="0"/>
          </w:rPr>
          <w:t xml:space="preserve"> dot. środków ograniczających w związku z działaniami Rosji destabilizującymi sytuację na Ukrainie</w:t>
        </w:r>
      </w:hyperlink>
      <w:r w:rsidDel="00000000" w:rsidR="00000000" w:rsidRPr="00000000">
        <w:rPr>
          <w:color w:val="000000"/>
          <w:u w:val="single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– Ograniczenie dotyczy zastosowania do użytku wojskowego lub dla wojskowego użytkownika końcowego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w Rosji</w:t>
      </w:r>
      <w:r w:rsidDel="00000000" w:rsidR="00000000" w:rsidRPr="00000000">
        <w:rPr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(1)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towarów i technologii podwójnego zastosowania</w:t>
      </w:r>
      <w:r w:rsidDel="00000000" w:rsidR="00000000" w:rsidRPr="00000000">
        <w:rPr>
          <w:color w:val="000000"/>
          <w:rtl w:val="0"/>
        </w:rPr>
        <w:t xml:space="preserve">; zgodnie z </w:t>
      </w:r>
      <w:hyperlink r:id="rId42">
        <w:r w:rsidDel="00000000" w:rsidR="00000000" w:rsidRPr="00000000">
          <w:rPr>
            <w:color w:val="000000"/>
            <w:u w:val="single"/>
            <w:rtl w:val="0"/>
          </w:rPr>
          <w:t xml:space="preserve">Rozporządzeniem Rady (WE) nr 428/2009 z 05.05.2009 ustanawiającego wspólnotowy system kontroli wywozu, transferu, pośrednictwa i tranzytu w odniesieniu do produktów podwójnego zastosowania</w:t>
        </w:r>
      </w:hyperlink>
      <w:r w:rsidDel="00000000" w:rsidR="00000000" w:rsidRPr="00000000">
        <w:rPr>
          <w:color w:val="000000"/>
          <w:rtl w:val="0"/>
        </w:rPr>
        <w:t xml:space="preserve">,</w:t>
      </w:r>
    </w:p>
    <w:p w:rsidR="00000000" w:rsidDel="00000000" w:rsidP="00000000" w:rsidRDefault="00000000" w:rsidRPr="00000000" w14:paraId="00000021">
      <w:pPr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ZAŁĄCZNIK: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hyperlink r:id="rId43">
        <w:r w:rsidDel="00000000" w:rsidR="00000000" w:rsidRPr="00000000">
          <w:rPr>
            <w:color w:val="000000"/>
            <w:u w:val="single"/>
            <w:rtl w:val="0"/>
          </w:rPr>
          <w:t xml:space="preserve">https://eur-lex.europa.eu/legal-content/PL/TXT/HTML/?uri=CELEX:32014R0833#d1e32-9-1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(2)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technologii dla przemysłu naftowego</w:t>
      </w:r>
      <w:r w:rsidDel="00000000" w:rsidR="00000000" w:rsidRPr="00000000">
        <w:rPr>
          <w:color w:val="000000"/>
          <w:rtl w:val="0"/>
        </w:rPr>
        <w:t xml:space="preserve"> do głębinowej eksploracji i produkcji ropy naftowej, arktycznej eksploracji i produkcji ropy naftowej lub przy projektach związanych z olejem łupkowym w Rosji; </w:t>
      </w:r>
    </w:p>
    <w:p w:rsidR="00000000" w:rsidDel="00000000" w:rsidP="00000000" w:rsidRDefault="00000000" w:rsidRPr="00000000" w14:paraId="00000023">
      <w:pPr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(3)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technologii zawartych we wspólnym wykazie uzbrojenia UE</w:t>
      </w:r>
      <w:r w:rsidDel="00000000" w:rsidR="00000000" w:rsidRPr="00000000">
        <w:rPr>
          <w:color w:val="000000"/>
          <w:rtl w:val="0"/>
        </w:rPr>
        <w:t xml:space="preserve">, </w:t>
      </w:r>
    </w:p>
    <w:p w:rsidR="00000000" w:rsidDel="00000000" w:rsidP="00000000" w:rsidRDefault="00000000" w:rsidRPr="00000000" w14:paraId="00000024">
      <w:pPr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ZAŁĄCZNIK: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hyperlink r:id="rId44">
        <w:r w:rsidDel="00000000" w:rsidR="00000000" w:rsidRPr="00000000">
          <w:rPr>
            <w:color w:val="000000"/>
            <w:u w:val="single"/>
            <w:rtl w:val="0"/>
          </w:rPr>
          <w:t xml:space="preserve">https://eur-lex.europa.eu/legal-content/PL/TXT/PDF/?uri=OJ:C:2014:107:FULL</w:t>
        </w:r>
      </w:hyperlink>
      <w:r w:rsidDel="00000000" w:rsidR="00000000" w:rsidRPr="00000000">
        <w:rPr>
          <w:color w:val="000000"/>
          <w:rtl w:val="0"/>
        </w:rPr>
        <w:t xml:space="preserve"> , a także</w:t>
      </w:r>
    </w:p>
    <w:p w:rsidR="00000000" w:rsidDel="00000000" w:rsidP="00000000" w:rsidRDefault="00000000" w:rsidRPr="00000000" w14:paraId="00000025">
      <w:pPr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(4)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broni i materiału pokrewnego wszelkiego rodzaju</w:t>
      </w:r>
      <w:r w:rsidDel="00000000" w:rsidR="00000000" w:rsidRPr="00000000">
        <w:rPr>
          <w:color w:val="000000"/>
          <w:rtl w:val="0"/>
        </w:rPr>
        <w:t xml:space="preserve">, łącznie z bronią i amunicją, pojazdami i sprzętem wojskowym, sprzętem paramilitarnym oraz częściami zamiennymi do nich; jak również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finansowania </w:t>
      </w:r>
      <w:r w:rsidDel="00000000" w:rsidR="00000000" w:rsidRPr="00000000">
        <w:rPr>
          <w:color w:val="000000"/>
          <w:rtl w:val="0"/>
        </w:rPr>
        <w:t xml:space="preserve">zw. z działaniami wojskowymi.</w:t>
      </w:r>
    </w:p>
    <w:p w:rsidR="00000000" w:rsidDel="00000000" w:rsidP="00000000" w:rsidRDefault="00000000" w:rsidRPr="00000000" w14:paraId="0000002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360" w:hanging="360"/>
        <w:jc w:val="both"/>
        <w:rPr>
          <w:color w:val="000000"/>
        </w:rPr>
      </w:pPr>
      <w:hyperlink r:id="rId45">
        <w:r w:rsidDel="00000000" w:rsidR="00000000" w:rsidRPr="00000000">
          <w:rPr>
            <w:b w:val="1"/>
            <w:bCs w:val="1"/>
            <w:color w:val="000000"/>
            <w:u w:val="single"/>
            <w:rtl w:val="0"/>
          </w:rPr>
          <w:t xml:space="preserve">Decyzja Rady 2012/642/WPZiB z dn. 15.10.2012</w:t>
        </w:r>
      </w:hyperlink>
      <w:hyperlink r:id="rId46">
        <w:r w:rsidDel="00000000" w:rsidR="00000000" w:rsidRPr="00000000">
          <w:rPr>
            <w:color w:val="000000"/>
            <w:u w:val="single"/>
            <w:rtl w:val="0"/>
          </w:rPr>
          <w:t xml:space="preserve"> dot. środków ograniczających skierowanych przeciwko Białorusi</w:t>
        </w:r>
      </w:hyperlink>
      <w:r w:rsidDel="00000000" w:rsidR="00000000" w:rsidRPr="00000000">
        <w:rPr>
          <w:color w:val="000000"/>
          <w:u w:val="single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– Ograniczenie dotyczy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wszelkich typów uzbrojenia i materiałów z nim związanych</w:t>
      </w:r>
      <w:r w:rsidDel="00000000" w:rsidR="00000000" w:rsidRPr="00000000">
        <w:rPr>
          <w:color w:val="000000"/>
          <w:rtl w:val="0"/>
        </w:rPr>
        <w:t xml:space="preserve">, łącznie z bronią i amunicją, pojazdami wojskowymi i sprzętem wojskowym, sprzętem paramilitarnym i częściami zamiennymi, a także sprzętu, który mógłby zostać wykorzystany do stosowania wewnętrznych represji, na terytorium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Białorusi; finansowanie</w:t>
      </w:r>
      <w:r w:rsidDel="00000000" w:rsidR="00000000" w:rsidRPr="00000000">
        <w:rPr>
          <w:color w:val="000000"/>
          <w:rtl w:val="0"/>
        </w:rPr>
        <w:t xml:space="preserve"> lub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usługi </w:t>
      </w:r>
      <w:r w:rsidDel="00000000" w:rsidR="00000000" w:rsidRPr="00000000">
        <w:rPr>
          <w:color w:val="000000"/>
          <w:rtl w:val="0"/>
        </w:rPr>
        <w:t xml:space="preserve">dla podmiotów terytorium Białorusi lub w celu wykorzystania na terytorium tego państwa</w:t>
      </w:r>
    </w:p>
    <w:p w:rsidR="00000000" w:rsidDel="00000000" w:rsidP="00000000" w:rsidRDefault="00000000" w:rsidRPr="00000000" w14:paraId="00000028">
      <w:pPr>
        <w:ind w:firstLine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ZAŁĄCZNIK: </w:t>
      </w:r>
      <w:hyperlink r:id="rId47">
        <w:r w:rsidDel="00000000" w:rsidR="00000000" w:rsidRPr="00000000">
          <w:rPr>
            <w:color w:val="000000"/>
            <w:u w:val="single"/>
            <w:rtl w:val="0"/>
          </w:rPr>
          <w:t xml:space="preserve">https://eur-lex.europa.eu/legal-content/PL/TXT/HTML/?uri=CELEX:32012D0642#d1e32-5-1</w:t>
        </w:r>
      </w:hyperlink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4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56674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5667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6688E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6688E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6688E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E6688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E6688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6688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6688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6688E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6688E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6688E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6688E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6688E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6688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6688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6688E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6688E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6688E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6688E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6688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6688E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6688E"/>
    <w:rPr>
      <w:b w:val="1"/>
      <w:bCs w:val="1"/>
      <w:smallCaps w:val="1"/>
      <w:color w:val="0f4761" w:themeColor="accent1" w:themeShade="0000BF"/>
      <w:spacing w:val="5"/>
    </w:rPr>
  </w:style>
  <w:style w:type="paragraph" w:styleId="NormalnyWeb">
    <w:name w:val="Normal (Web)"/>
    <w:basedOn w:val="Normalny"/>
    <w:uiPriority w:val="99"/>
    <w:semiHidden w:val="1"/>
    <w:unhideWhenUsed w:val="1"/>
    <w:rsid w:val="00E6688E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pl-PL"/>
    </w:rPr>
  </w:style>
  <w:style w:type="character" w:styleId="Hipercze">
    <w:name w:val="Hyperlink"/>
    <w:basedOn w:val="Domylnaczcionkaakapitu"/>
    <w:uiPriority w:val="99"/>
    <w:semiHidden w:val="1"/>
    <w:unhideWhenUsed w:val="1"/>
    <w:rsid w:val="00E6688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E6688E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E6688E"/>
  </w:style>
  <w:style w:type="paragraph" w:styleId="Stopka">
    <w:name w:val="footer"/>
    <w:basedOn w:val="Normalny"/>
    <w:link w:val="StopkaZnak"/>
    <w:uiPriority w:val="99"/>
    <w:unhideWhenUsed w:val="1"/>
    <w:rsid w:val="00E6688E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E6688E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eur-lex.europa.eu/legal-content/PL/TXT/HTML/?uri=CELEX:32014D0512" TargetMode="External"/><Relationship Id="rId20" Type="http://schemas.openxmlformats.org/officeDocument/2006/relationships/hyperlink" Target="https://eur-lex.europa.eu/legal-content/PL/TXT/HTML/?uri=CELEX:32014R0833" TargetMode="External"/><Relationship Id="rId42" Type="http://schemas.openxmlformats.org/officeDocument/2006/relationships/hyperlink" Target="https://eur-lex.europa.eu/legal-content/PL/TXT/?uri=CELEX:32009R0428" TargetMode="External"/><Relationship Id="rId41" Type="http://schemas.openxmlformats.org/officeDocument/2006/relationships/hyperlink" Target="https://eur-lex.europa.eu/legal-content/PL/TXT/HTML/?uri=CELEX:32014D0512" TargetMode="External"/><Relationship Id="rId22" Type="http://schemas.openxmlformats.org/officeDocument/2006/relationships/hyperlink" Target="https://eur-lex.europa.eu/legal-content/PL/TXT/HTML/?uri=CELEX:32014R0833#d1e32-11-1" TargetMode="External"/><Relationship Id="rId44" Type="http://schemas.openxmlformats.org/officeDocument/2006/relationships/hyperlink" Target="https://eur-lex.europa.eu/legal-content/PL/TXT/PDF/?uri=OJ:C:2014:107:FULL" TargetMode="External"/><Relationship Id="rId21" Type="http://schemas.openxmlformats.org/officeDocument/2006/relationships/hyperlink" Target="https://eur-lex.europa.eu/legal-content/PL/TXT/HTML/?uri=CELEX:32014R0833" TargetMode="External"/><Relationship Id="rId43" Type="http://schemas.openxmlformats.org/officeDocument/2006/relationships/hyperlink" Target="https://eur-lex.europa.eu/legal-content/PL/TXT/HTML/?uri=CELEX:32014R0833#d1e32-9-1" TargetMode="External"/><Relationship Id="rId24" Type="http://schemas.openxmlformats.org/officeDocument/2006/relationships/hyperlink" Target="https://ujchmura.sharepoint.com/teams/INKUBATORROZWOJU-KONSORCJUMKRAKW/Shared%20Documents/Regulaminy/Decyzji%20Rady%202014/145/WPZiB%20z%20dn.%2017.03.2014%20r.%20ws.%20%C5%9Brodk%C3%B3w%20ograniczaj%C4%85cych%20w%20zwi%C4%85zku%20z%20dzia%C5%82aniami%20podwa%C5%BCaj%C4%85cymi%20integralno%C5%9B%C4%87%20terytorialn%C4%85,%20suwerenno%C5%9B%C4%87%20i%20niezale%C5%BCno%C5%9B%C4%87%20Ukrainy%20lub%20im%20zagra%C5%BCaj%C4%85cymi" TargetMode="External"/><Relationship Id="rId46" Type="http://schemas.openxmlformats.org/officeDocument/2006/relationships/hyperlink" Target="https://eur-lex.europa.eu/legal-content/PL/TXT/HTML/?uri=CELEX:32012D0642" TargetMode="External"/><Relationship Id="rId23" Type="http://schemas.openxmlformats.org/officeDocument/2006/relationships/hyperlink" Target="https://ujchmura.sharepoint.com/teams/INKUBATORROZWOJU-KONSORCJUMKRAKW/Shared%20Documents/Regulaminy/Decyzji%20Rady%202014/145/WPZiB%20z%20dn.%2017.03.2014%20r.%20ws.%20%C5%9Brodk%C3%B3w%20ograniczaj%C4%85cych%20w%20zwi%C4%85zku%20z%20dzia%C5%82aniami%20podwa%C5%BCaj%C4%85cymi%20integralno%C5%9B%C4%87%20terytorialn%C4%85,%20suwerenno%C5%9B%C4%87%20i%20niezale%C5%BCno%C5%9B%C4%87%20Ukrainy%20lub%20im%20zagra%C5%BCaj%C4%85cymi" TargetMode="External"/><Relationship Id="rId45" Type="http://schemas.openxmlformats.org/officeDocument/2006/relationships/hyperlink" Target="https://eur-lex.europa.eu/legal-content/PL/TXT/HTML/?uri=CELEX:32012D064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pl/web/mswia/lista-osob-i-podmiotow-objetych-sankcjami" TargetMode="External"/><Relationship Id="rId26" Type="http://schemas.openxmlformats.org/officeDocument/2006/relationships/hyperlink" Target="https://eur-lex.europa.eu/legal-content/PL/TXT/HTML/?uri=CELEX:32012D0642" TargetMode="External"/><Relationship Id="rId48" Type="http://schemas.openxmlformats.org/officeDocument/2006/relationships/header" Target="header1.xml"/><Relationship Id="rId25" Type="http://schemas.openxmlformats.org/officeDocument/2006/relationships/hyperlink" Target="https://eur-lex.europa.eu/legal-content/PL/TXT/HTML/?uri=CELEX:32014D0145#d1e32-19-1" TargetMode="External"/><Relationship Id="rId47" Type="http://schemas.openxmlformats.org/officeDocument/2006/relationships/hyperlink" Target="https://eur-lex.europa.eu/legal-content/PL/TXT/HTML/?uri=CELEX:32012D0642#d1e32-5-1" TargetMode="External"/><Relationship Id="rId28" Type="http://schemas.openxmlformats.org/officeDocument/2006/relationships/hyperlink" Target="https://eur-lex.europa.eu/legal-content/PL/TXT/HTML/?uri=CELEX:32012D0642#d1e32-5-1" TargetMode="External"/><Relationship Id="rId27" Type="http://schemas.openxmlformats.org/officeDocument/2006/relationships/hyperlink" Target="https://eur-lex.europa.eu/legal-content/PL/TXT/HTML/?uri=CELEX:32012D0642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eur-lex.europa.eu/legal-content/PL/TXT/HTML/?uri=CELEX:32014R0692" TargetMode="External"/><Relationship Id="rId7" Type="http://schemas.openxmlformats.org/officeDocument/2006/relationships/hyperlink" Target="https://isap.sejm.gov.pl/isap.nsf/download.xsp/WDU20220000835/U/D20220835Lj.pdf" TargetMode="External"/><Relationship Id="rId8" Type="http://schemas.openxmlformats.org/officeDocument/2006/relationships/hyperlink" Target="https://isap.sejm.gov.pl/isap.nsf/download.xsp/WDU20220000835/U/D20220835Lj.pdf" TargetMode="External"/><Relationship Id="rId31" Type="http://schemas.openxmlformats.org/officeDocument/2006/relationships/hyperlink" Target="https://eur-lex.europa.eu/legal-content/PL/TXT/?uri=CELEX%3A32022R0263" TargetMode="External"/><Relationship Id="rId30" Type="http://schemas.openxmlformats.org/officeDocument/2006/relationships/hyperlink" Target="https://eur-lex.europa.eu/legal-content/PL/TXT/HTML/?uri=CELEX:32014R0692" TargetMode="External"/><Relationship Id="rId11" Type="http://schemas.openxmlformats.org/officeDocument/2006/relationships/hyperlink" Target="https://eur-lex.europa.eu/legal-content/PL/TXT/HTML/?uri=CELEX:32006R0765" TargetMode="External"/><Relationship Id="rId33" Type="http://schemas.openxmlformats.org/officeDocument/2006/relationships/hyperlink" Target="https://eur-lex.europa.eu/legal-content/PL/TXT/?uri=CELEX:32022D0266" TargetMode="External"/><Relationship Id="rId10" Type="http://schemas.openxmlformats.org/officeDocument/2006/relationships/hyperlink" Target="https://www.gov.pl/attachment/74accf9c-0933-42f4-afb7-adaf21c0f8c4" TargetMode="External"/><Relationship Id="rId32" Type="http://schemas.openxmlformats.org/officeDocument/2006/relationships/hyperlink" Target="https://eur-lex.europa.eu/legal-content/PL/TXT/?uri=CELEX%3A32022R0263" TargetMode="External"/><Relationship Id="rId13" Type="http://schemas.openxmlformats.org/officeDocument/2006/relationships/hyperlink" Target="https://eur-lex.europa.eu/legal-content/PL/TXT/HTML/?uri=CELEX:02006R0765-20240913#anx_I" TargetMode="External"/><Relationship Id="rId35" Type="http://schemas.openxmlformats.org/officeDocument/2006/relationships/hyperlink" Target="https://eur-lex.europa.eu/legal-content/PL/TXT/HTML/?uri=OJ:L_202400633" TargetMode="External"/><Relationship Id="rId12" Type="http://schemas.openxmlformats.org/officeDocument/2006/relationships/hyperlink" Target="https://eur-lex.europa.eu/legal-content/PL/TXT/HTML/?uri=CELEX:32006R0765" TargetMode="External"/><Relationship Id="rId34" Type="http://schemas.openxmlformats.org/officeDocument/2006/relationships/hyperlink" Target="https://eur-lex.europa.eu/legal-content/PL/TXT/?uri=CELEX:32022D0266" TargetMode="External"/><Relationship Id="rId15" Type="http://schemas.openxmlformats.org/officeDocument/2006/relationships/hyperlink" Target="https://eur-lex.europa.eu/legal-content/PL/TXT/HTML/?uri=CELEX:32014R0208" TargetMode="External"/><Relationship Id="rId37" Type="http://schemas.openxmlformats.org/officeDocument/2006/relationships/hyperlink" Target="https://eur-lex.europa.eu/legal-content/PL/TXT/HTML/?uri=CELEX:32022R0263#fnp_1" TargetMode="External"/><Relationship Id="rId14" Type="http://schemas.openxmlformats.org/officeDocument/2006/relationships/hyperlink" Target="https://eur-lex.europa.eu/legal-content/PL/TXT/HTML/?uri=CELEX:32014R0208" TargetMode="External"/><Relationship Id="rId36" Type="http://schemas.openxmlformats.org/officeDocument/2006/relationships/hyperlink" Target="https://eur-lex.europa.eu/legal-content/PL/TXT/HTML/?uri=OJ:L_202400633" TargetMode="External"/><Relationship Id="rId17" Type="http://schemas.openxmlformats.org/officeDocument/2006/relationships/hyperlink" Target="https://ujchmura.sharepoint.com/teams/INKUBATORROZWOJU-KONSORCJUMKRAKW/Shared%20Documents/Regulaminy/Rozporz%C4%85dzenia%20Rady%20(UE)%20nr%20269/2014%20z%20dn.%2017.03.2014%20ws.%20%C5%9Brodk%C3%B3w%20ograniczaj%C4%85cych%20w%20odniesieniu%20do%20dzia%C5%82a%C5%84%20podwa%C5%BCaj%C4%85cych%20integralno%C5%9B%C4%87%20terytorialn%C4%85,%20suwerenno%C5%9B%C4%87%20i%20niezale%C5%BCno%C5%9B%C4%87%20Ukrainy%20lub%20im%20zagra%C5%BCaj%C4%85cych" TargetMode="External"/><Relationship Id="rId39" Type="http://schemas.openxmlformats.org/officeDocument/2006/relationships/hyperlink" Target="https://eur-lex.europa.eu/legal-content/PL/TXT/HTML/?uri=CELEX:32014R0833" TargetMode="External"/><Relationship Id="rId16" Type="http://schemas.openxmlformats.org/officeDocument/2006/relationships/hyperlink" Target="https://eur-lex.europa.eu/legal-content/PL/TXT/HTML/?uri=CELEX:32014R0208#d1e32-6-1" TargetMode="External"/><Relationship Id="rId38" Type="http://schemas.openxmlformats.org/officeDocument/2006/relationships/hyperlink" Target="https://eur-lex.europa.eu/legal-content/PL/TXT/HTML/?uri=CELEX:32014R0833" TargetMode="External"/><Relationship Id="rId19" Type="http://schemas.openxmlformats.org/officeDocument/2006/relationships/hyperlink" Target="https://eur-lex.europa.eu/legal-content/PL/TXT/HTML/?uri=CELEX:32014R0269#d1e32-11-1" TargetMode="External"/><Relationship Id="rId18" Type="http://schemas.openxmlformats.org/officeDocument/2006/relationships/hyperlink" Target="https://ujchmura.sharepoint.com/teams/INKUBATORROZWOJU-KONSORCJUMKRAKW/Shared%20Documents/Regulaminy/Rozporz%C4%85dzenia%20Rady%20(UE)%20nr%20269/2014%20z%20dn.%2017.03.2014%20ws.%20%C5%9Brodk%C3%B3w%20ograniczaj%C4%85cych%20w%20odniesieniu%20do%20dzia%C5%82a%C5%84%20podwa%C5%BCaj%C4%85cych%20integralno%C5%9B%C4%87%20terytorialn%C4%85,%20suwerenno%C5%9B%C4%87%20i%20niezale%C5%BCno%C5%9B%C4%87%20Ukrainy%20lub%20im%20zagra%C5%BCaj%C4%85cych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cA2ZDnKht5XMhcfD9m6GUgBDw==">CgMxLjA4AHIhMV9SWnN2VHVMSWVZQ2NrcjNpS3phcFYtTVg3ME9TYXd1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2025-10-01T08:55:00Z</dcterms:created>
  <dc:creator>Alina Jaworska</dc:creator>
</cp:coreProperties>
</file>