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80F0" w14:textId="77777777" w:rsidR="00807C66" w:rsidRPr="001C5F3C" w:rsidRDefault="00807C66">
      <w:pPr>
        <w:jc w:val="center"/>
        <w:rPr>
          <w:rFonts w:ascii="Aptos" w:hAnsi="Aptos"/>
          <w:b/>
          <w:sz w:val="24"/>
          <w:szCs w:val="24"/>
        </w:rPr>
      </w:pPr>
    </w:p>
    <w:p w14:paraId="5D2C7BF4" w14:textId="0C303FAA" w:rsidR="00807C66" w:rsidRPr="001C5F3C" w:rsidRDefault="00807C66" w:rsidP="00807C66">
      <w:pPr>
        <w:rPr>
          <w:rFonts w:ascii="Aptos" w:hAnsi="Aptos"/>
          <w:b/>
          <w:sz w:val="24"/>
          <w:szCs w:val="24"/>
        </w:rPr>
      </w:pPr>
      <w:r w:rsidRPr="001C5F3C">
        <w:rPr>
          <w:rFonts w:ascii="Aptos" w:hAnsi="Aptos"/>
          <w:b/>
          <w:sz w:val="24"/>
          <w:szCs w:val="24"/>
        </w:rPr>
        <w:t xml:space="preserve">ZAŁĄCZNIK NR </w:t>
      </w:r>
      <w:r w:rsidR="001C5F3C" w:rsidRPr="001C5F3C">
        <w:rPr>
          <w:rFonts w:ascii="Aptos" w:hAnsi="Aptos"/>
          <w:b/>
          <w:sz w:val="24"/>
          <w:szCs w:val="24"/>
        </w:rPr>
        <w:t>10</w:t>
      </w:r>
      <w:r w:rsidRPr="001C5F3C">
        <w:rPr>
          <w:rFonts w:ascii="Aptos" w:hAnsi="Aptos"/>
          <w:b/>
          <w:sz w:val="24"/>
          <w:szCs w:val="24"/>
        </w:rPr>
        <w:t xml:space="preserve"> ZASADY </w:t>
      </w:r>
      <w:r w:rsidR="001C5F3C" w:rsidRPr="001C5F3C">
        <w:rPr>
          <w:rFonts w:ascii="Aptos" w:hAnsi="Aptos"/>
          <w:b/>
          <w:sz w:val="24"/>
          <w:szCs w:val="24"/>
        </w:rPr>
        <w:t>6R</w:t>
      </w:r>
    </w:p>
    <w:p w14:paraId="49CBD9D1" w14:textId="77777777" w:rsidR="001C5F3C" w:rsidRPr="001C5F3C" w:rsidRDefault="001C5F3C" w:rsidP="001C5F3C">
      <w:pPr>
        <w:spacing w:after="0" w:line="240" w:lineRule="auto"/>
        <w:jc w:val="both"/>
        <w:rPr>
          <w:rFonts w:ascii="Aptos" w:eastAsia="Times New Roman" w:hAnsi="Aptos" w:cs="Times New Roman"/>
          <w:sz w:val="24"/>
          <w:szCs w:val="24"/>
          <w:lang w:val="pl-PL" w:eastAsia="pl-PL"/>
        </w:rPr>
      </w:pPr>
      <w:r w:rsidRPr="001C5F3C">
        <w:rPr>
          <w:rFonts w:ascii="Aptos" w:eastAsia="Times New Roman" w:hAnsi="Aptos" w:cs="Times New Roman"/>
          <w:color w:val="000000"/>
          <w:sz w:val="24"/>
          <w:szCs w:val="24"/>
          <w:lang w:val="pl-PL" w:eastAsia="pl-PL"/>
        </w:rPr>
        <w:t>Opis zasad:</w:t>
      </w:r>
    </w:p>
    <w:p w14:paraId="2C7011C6" w14:textId="77777777" w:rsidR="001C5F3C" w:rsidRPr="001C5F3C" w:rsidRDefault="001C5F3C" w:rsidP="001C5F3C">
      <w:pPr>
        <w:spacing w:after="0" w:line="240" w:lineRule="auto"/>
        <w:jc w:val="both"/>
        <w:rPr>
          <w:rFonts w:ascii="Aptos" w:eastAsia="Times New Roman" w:hAnsi="Aptos" w:cs="Times New Roman"/>
          <w:sz w:val="24"/>
          <w:szCs w:val="24"/>
          <w:lang w:val="pl-PL" w:eastAsia="pl-PL"/>
        </w:rPr>
      </w:pPr>
      <w:r w:rsidRPr="001C5F3C">
        <w:rPr>
          <w:rFonts w:ascii="Aptos" w:eastAsia="Times New Roman" w:hAnsi="Aptos" w:cs="Times New Roman"/>
          <w:color w:val="000000"/>
          <w:sz w:val="24"/>
          <w:szCs w:val="24"/>
          <w:lang w:val="pl-PL" w:eastAsia="pl-PL"/>
        </w:rPr>
        <w:t>Zasada „</w:t>
      </w:r>
      <w:r w:rsidRPr="001C5F3C">
        <w:rPr>
          <w:rFonts w:ascii="Aptos" w:eastAsia="Times New Roman" w:hAnsi="Aptos" w:cs="Times New Roman"/>
          <w:b/>
          <w:bCs/>
          <w:color w:val="000000"/>
          <w:sz w:val="24"/>
          <w:szCs w:val="24"/>
          <w:lang w:val="pl-PL" w:eastAsia="pl-PL"/>
        </w:rPr>
        <w:t>REFUSE (ODMÓW)”</w:t>
      </w:r>
      <w:r w:rsidRPr="001C5F3C">
        <w:rPr>
          <w:rFonts w:ascii="Aptos" w:eastAsia="Times New Roman" w:hAnsi="Aptos" w:cs="Times New Roman"/>
          <w:color w:val="000000"/>
          <w:sz w:val="24"/>
          <w:szCs w:val="24"/>
          <w:lang w:val="pl-PL" w:eastAsia="pl-PL"/>
        </w:rPr>
        <w:t xml:space="preserve"> polega na rezygnacji z użycia materiałów, substancji lub produktów, które nie nadają się do ponownego użycia, naprawiania lub recyklingu lub które charakteryzują się negatywnym oddziaływaniem na środowisko lub na życie i zdrowie ludzi. Stosowanie zasady powinno być potwierdzone całkowitym (100%) wyeliminowaniem takich materiałów, substancji lub produktów - należy wykazać, które z nich zostały wyeliminowane w wyniku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Stosowanie zasady może być też potwierdzone prowadzeniem badań dotyczących rezygnacji z użycia materiałów, substancji lub produktów, które nie nadają się do ponownego użycia, naprawiania lub recyklingu lub które charakteryzują się negatywnym oddziaływaniem na środowisko lub na życie i zdrowie ludzi. </w:t>
      </w:r>
    </w:p>
    <w:p w14:paraId="6266B384" w14:textId="77777777" w:rsidR="001C5F3C" w:rsidRPr="001C5F3C" w:rsidRDefault="001C5F3C" w:rsidP="001C5F3C">
      <w:pPr>
        <w:spacing w:after="0" w:line="240" w:lineRule="auto"/>
        <w:rPr>
          <w:rFonts w:ascii="Aptos" w:eastAsia="Times New Roman" w:hAnsi="Aptos" w:cs="Times New Roman"/>
          <w:sz w:val="24"/>
          <w:szCs w:val="24"/>
          <w:lang w:val="pl-PL" w:eastAsia="pl-PL"/>
        </w:rPr>
      </w:pPr>
    </w:p>
    <w:p w14:paraId="1901BFF3" w14:textId="77777777" w:rsidR="001C5F3C" w:rsidRPr="001C5F3C" w:rsidRDefault="001C5F3C" w:rsidP="001C5F3C">
      <w:pPr>
        <w:spacing w:after="0" w:line="240" w:lineRule="auto"/>
        <w:jc w:val="both"/>
        <w:rPr>
          <w:rFonts w:ascii="Aptos" w:eastAsia="Times New Roman" w:hAnsi="Aptos" w:cs="Times New Roman"/>
          <w:sz w:val="24"/>
          <w:szCs w:val="24"/>
          <w:lang w:val="pl-PL" w:eastAsia="pl-PL"/>
        </w:rPr>
      </w:pPr>
      <w:r w:rsidRPr="001C5F3C">
        <w:rPr>
          <w:rFonts w:ascii="Aptos" w:eastAsia="Times New Roman" w:hAnsi="Aptos" w:cs="Times New Roman"/>
          <w:color w:val="000000"/>
          <w:sz w:val="24"/>
          <w:szCs w:val="24"/>
          <w:lang w:val="pl-PL" w:eastAsia="pl-PL"/>
        </w:rPr>
        <w:t xml:space="preserve">Zasada </w:t>
      </w:r>
      <w:r w:rsidRPr="001C5F3C">
        <w:rPr>
          <w:rFonts w:ascii="Aptos" w:eastAsia="Times New Roman" w:hAnsi="Aptos" w:cs="Times New Roman"/>
          <w:b/>
          <w:bCs/>
          <w:color w:val="000000"/>
          <w:sz w:val="24"/>
          <w:szCs w:val="24"/>
          <w:lang w:val="pl-PL" w:eastAsia="pl-PL"/>
        </w:rPr>
        <w:t>„REDUCE (OGRANICZ)”</w:t>
      </w:r>
      <w:r w:rsidRPr="001C5F3C">
        <w:rPr>
          <w:rFonts w:ascii="Aptos" w:eastAsia="Times New Roman" w:hAnsi="Aptos" w:cs="Times New Roman"/>
          <w:color w:val="000000"/>
          <w:sz w:val="24"/>
          <w:szCs w:val="24"/>
          <w:lang w:val="pl-PL" w:eastAsia="pl-PL"/>
        </w:rPr>
        <w:t xml:space="preserve"> polega na zmniejszeniu zużycia zasobów odnawialnych i nieodnawialnych, materiałów, substancji lub produktów poprzez zastosowanie odpowiednich działań technologicznych, logistycznych lub ekonomicznych. Ograniczenie powinno prowadzić do realnego zmniejszenia zużywanych zasobów, materiałów, substancji lub produktów w trakcie lub w wyniku realizacji projektu. Stosowanie zasady powinno być potwierdzone wskazaniem konkretnych zasobów, materiałów, substancji lub produktów, których wykorzystanie w wyniku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xml:space="preserve"> zostało zminimalizowane i jednocześnie nie spowodowało znacznego wzrostu wykorzystania innych zasobów, materiałów, substancji lub produktów w trakcie lub w wyniku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Stosowanie zasady może być też potwierdzone prowadzeniem badań dotyczących zmniejszenia zużycia zasobów, materiałów, substancji lub produktów poprzez zastosowanie odpowiednich działań technologicznych, logistycznych lub ekonomicznych. </w:t>
      </w:r>
    </w:p>
    <w:p w14:paraId="732D7D74" w14:textId="77777777" w:rsidR="001C5F3C" w:rsidRPr="001C5F3C" w:rsidRDefault="001C5F3C" w:rsidP="001C5F3C">
      <w:pPr>
        <w:spacing w:after="0" w:line="240" w:lineRule="auto"/>
        <w:rPr>
          <w:rFonts w:ascii="Aptos" w:eastAsia="Times New Roman" w:hAnsi="Aptos" w:cs="Times New Roman"/>
          <w:sz w:val="24"/>
          <w:szCs w:val="24"/>
          <w:lang w:val="pl-PL" w:eastAsia="pl-PL"/>
        </w:rPr>
      </w:pPr>
    </w:p>
    <w:p w14:paraId="3332C37A" w14:textId="77777777" w:rsidR="001C5F3C" w:rsidRPr="001C5F3C" w:rsidRDefault="001C5F3C" w:rsidP="001C5F3C">
      <w:pPr>
        <w:spacing w:after="0" w:line="240" w:lineRule="auto"/>
        <w:jc w:val="both"/>
        <w:rPr>
          <w:rFonts w:ascii="Aptos" w:eastAsia="Times New Roman" w:hAnsi="Aptos" w:cs="Times New Roman"/>
          <w:sz w:val="24"/>
          <w:szCs w:val="24"/>
          <w:lang w:val="pl-PL" w:eastAsia="pl-PL"/>
        </w:rPr>
      </w:pPr>
      <w:r w:rsidRPr="001C5F3C">
        <w:rPr>
          <w:rFonts w:ascii="Aptos" w:eastAsia="Times New Roman" w:hAnsi="Aptos" w:cs="Times New Roman"/>
          <w:color w:val="000000"/>
          <w:sz w:val="24"/>
          <w:szCs w:val="24"/>
          <w:lang w:val="pl-PL" w:eastAsia="pl-PL"/>
        </w:rPr>
        <w:t xml:space="preserve">Zasada </w:t>
      </w:r>
      <w:r w:rsidRPr="001C5F3C">
        <w:rPr>
          <w:rFonts w:ascii="Aptos" w:eastAsia="Times New Roman" w:hAnsi="Aptos" w:cs="Times New Roman"/>
          <w:b/>
          <w:bCs/>
          <w:color w:val="000000"/>
          <w:sz w:val="24"/>
          <w:szCs w:val="24"/>
          <w:lang w:val="pl-PL" w:eastAsia="pl-PL"/>
        </w:rPr>
        <w:t>„REUSE (UŻYWAJ PONOWNIE)”</w:t>
      </w:r>
      <w:r w:rsidRPr="001C5F3C">
        <w:rPr>
          <w:rFonts w:ascii="Aptos" w:eastAsia="Times New Roman" w:hAnsi="Aptos" w:cs="Times New Roman"/>
          <w:color w:val="000000"/>
          <w:sz w:val="24"/>
          <w:szCs w:val="24"/>
          <w:lang w:val="pl-PL" w:eastAsia="pl-PL"/>
        </w:rPr>
        <w:t xml:space="preserve"> polega na ponownym wykorzystaniu materiałów, surowców lub produktów, które zamiast stać się odpadem w jednym procesie produkcyjnym lub usługowym stają się surowcem dla innego. Zasada ta może też prowadzić do wykorzystania materiałów, surowców lub produktów do nowych funkcji, jeśli w obecnej postaci nie znajdują już zastosowania. Stosowanie zasady powinno być potwierdzone wskazaniem konkretnych materiałów, substancji lub produktów, które w trakcie lub w wyniku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xml:space="preserve"> zostaną ponownie skierowane do wykorzystania, lub którym zostanie nadana nowa, mająca znaczenie w danej lub innej działalności, funkcja. Należy wykazać ilość materiałów, substancji lub produktów skierowanych do ponownego wykorzystania. Stosowanie zasady może być potwierdzone prowadzeniem badań dotyczących zaawansowanych technologii regeneracji produktów lub tworzeniem systemów promujących </w:t>
      </w:r>
      <w:r w:rsidRPr="001C5F3C">
        <w:rPr>
          <w:rFonts w:ascii="Aptos" w:eastAsia="Times New Roman" w:hAnsi="Aptos" w:cs="Times New Roman"/>
          <w:color w:val="000000"/>
          <w:sz w:val="24"/>
          <w:szCs w:val="24"/>
          <w:lang w:val="pl-PL" w:eastAsia="pl-PL"/>
        </w:rPr>
        <w:lastRenderedPageBreak/>
        <w:t>ponowne użycie, a także prowadzeniem badań i wdrażaniem innowacji dotyczących zaawansowanych technologii regeneracji produktów lub tworzeniem systemów promujących ponowne użycie. </w:t>
      </w:r>
    </w:p>
    <w:p w14:paraId="3D81EE38" w14:textId="77777777" w:rsidR="001C5F3C" w:rsidRPr="001C5F3C" w:rsidRDefault="001C5F3C" w:rsidP="001C5F3C">
      <w:pPr>
        <w:spacing w:after="0" w:line="240" w:lineRule="auto"/>
        <w:rPr>
          <w:rFonts w:ascii="Aptos" w:eastAsia="Times New Roman" w:hAnsi="Aptos" w:cs="Times New Roman"/>
          <w:sz w:val="24"/>
          <w:szCs w:val="24"/>
          <w:lang w:val="pl-PL" w:eastAsia="pl-PL"/>
        </w:rPr>
      </w:pPr>
    </w:p>
    <w:p w14:paraId="3C9CBE73" w14:textId="77777777" w:rsidR="001C5F3C" w:rsidRPr="001C5F3C" w:rsidRDefault="001C5F3C" w:rsidP="001C5F3C">
      <w:pPr>
        <w:spacing w:after="0" w:line="240" w:lineRule="auto"/>
        <w:jc w:val="both"/>
        <w:rPr>
          <w:rFonts w:ascii="Aptos" w:eastAsia="Times New Roman" w:hAnsi="Aptos" w:cs="Times New Roman"/>
          <w:sz w:val="24"/>
          <w:szCs w:val="24"/>
          <w:lang w:val="pl-PL" w:eastAsia="pl-PL"/>
        </w:rPr>
      </w:pPr>
      <w:r w:rsidRPr="001C5F3C">
        <w:rPr>
          <w:rFonts w:ascii="Aptos" w:eastAsia="Times New Roman" w:hAnsi="Aptos" w:cs="Times New Roman"/>
          <w:color w:val="000000"/>
          <w:sz w:val="24"/>
          <w:szCs w:val="24"/>
          <w:lang w:val="pl-PL" w:eastAsia="pl-PL"/>
        </w:rPr>
        <w:t xml:space="preserve">Zasada </w:t>
      </w:r>
      <w:r w:rsidRPr="001C5F3C">
        <w:rPr>
          <w:rFonts w:ascii="Aptos" w:eastAsia="Times New Roman" w:hAnsi="Aptos" w:cs="Times New Roman"/>
          <w:b/>
          <w:bCs/>
          <w:color w:val="000000"/>
          <w:sz w:val="24"/>
          <w:szCs w:val="24"/>
          <w:lang w:val="pl-PL" w:eastAsia="pl-PL"/>
        </w:rPr>
        <w:t>„RECOVER (NAPRAWIAJ)”</w:t>
      </w:r>
      <w:r w:rsidRPr="001C5F3C">
        <w:rPr>
          <w:rFonts w:ascii="Aptos" w:eastAsia="Times New Roman" w:hAnsi="Aptos" w:cs="Times New Roman"/>
          <w:color w:val="000000"/>
          <w:sz w:val="24"/>
          <w:szCs w:val="24"/>
          <w:lang w:val="pl-PL" w:eastAsia="pl-PL"/>
        </w:rPr>
        <w:t xml:space="preserve"> polega na wprowadzeniu w ramach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xml:space="preserve"> takich rozwiązań technologicznych, logistycznych i marketingowych, które zapewniają dostępność części zamiennych, instrukcji obsługi i napraw, informacji technicznych lub innych narzędzi, sprzętu lub oprogramowania pozwalających na naprawę i ponowne użycie produktów bez szkody dla ich jakości i bezpieczeństwa. Stosowanie zasady polega też na wydłużaniu cyklu życia produktu poprzez umożliwienie jego naprawy, odświeżenia czy poprawy estetyki lub na tworzeniu kompleksowych systemów promujących naprawę produktów. Stosowanie zasady powinno być potwierdzone wskazaniem konkretnych produktów lub ich elementów, dla których w trakcie lub w wyniku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xml:space="preserve"> zostanie wprowadzona możliwość ich naprawy, odświeżenia, odnowienia lub ulepszenia. Zmiana spowodowana realizacją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xml:space="preserve"> może dotyczyć sprzętu i maszyn. Stosowanie zasady może być też potwierdzone prowadzeniem badań i wdrażaniem innowacji dotyczących zaawansowanych technologii regeneracji produktów lub tworzeniem systemów promujących naprawienia i regenerację produktów. Należy wykazać liczbę produktów lub elementów, dla których w wyniku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xml:space="preserve"> zostanie wprowadzona możliwość ich naprawy, odświeżenia, odnowienia lub ulepszenia lub wykazać o ile wydłuży się czas życia produktu lub elementu w wyniku wprowadzonych zmian. Stosowanie zasady może być też potwierdzone prowadzeniem badań dotyczących zaawansowanych technologii regeneracji produktów lub tworzeniem systemów promujących naprawienia i regenerację produktów. </w:t>
      </w:r>
    </w:p>
    <w:p w14:paraId="64430F07" w14:textId="77777777" w:rsidR="001C5F3C" w:rsidRPr="001C5F3C" w:rsidRDefault="001C5F3C" w:rsidP="001C5F3C">
      <w:pPr>
        <w:spacing w:after="0" w:line="240" w:lineRule="auto"/>
        <w:rPr>
          <w:rFonts w:ascii="Aptos" w:eastAsia="Times New Roman" w:hAnsi="Aptos" w:cs="Times New Roman"/>
          <w:sz w:val="24"/>
          <w:szCs w:val="24"/>
          <w:lang w:val="pl-PL" w:eastAsia="pl-PL"/>
        </w:rPr>
      </w:pPr>
    </w:p>
    <w:p w14:paraId="7BA463CB" w14:textId="77777777" w:rsidR="001C5F3C" w:rsidRPr="001C5F3C" w:rsidRDefault="001C5F3C" w:rsidP="001C5F3C">
      <w:pPr>
        <w:spacing w:after="0" w:line="240" w:lineRule="auto"/>
        <w:jc w:val="both"/>
        <w:rPr>
          <w:rFonts w:ascii="Aptos" w:eastAsia="Times New Roman" w:hAnsi="Aptos" w:cs="Times New Roman"/>
          <w:sz w:val="24"/>
          <w:szCs w:val="24"/>
          <w:lang w:val="pl-PL" w:eastAsia="pl-PL"/>
        </w:rPr>
      </w:pPr>
      <w:r w:rsidRPr="001C5F3C">
        <w:rPr>
          <w:rFonts w:ascii="Aptos" w:eastAsia="Times New Roman" w:hAnsi="Aptos" w:cs="Times New Roman"/>
          <w:color w:val="000000"/>
          <w:sz w:val="24"/>
          <w:szCs w:val="24"/>
          <w:lang w:val="pl-PL" w:eastAsia="pl-PL"/>
        </w:rPr>
        <w:t xml:space="preserve">Zasada </w:t>
      </w:r>
      <w:r w:rsidRPr="001C5F3C">
        <w:rPr>
          <w:rFonts w:ascii="Aptos" w:eastAsia="Times New Roman" w:hAnsi="Aptos" w:cs="Times New Roman"/>
          <w:b/>
          <w:bCs/>
          <w:color w:val="000000"/>
          <w:sz w:val="24"/>
          <w:szCs w:val="24"/>
          <w:lang w:val="pl-PL" w:eastAsia="pl-PL"/>
        </w:rPr>
        <w:t>„RECYCLE (ODDAJ DO RECYKLINGU)”</w:t>
      </w:r>
      <w:r w:rsidRPr="001C5F3C">
        <w:rPr>
          <w:rFonts w:ascii="Aptos" w:eastAsia="Times New Roman" w:hAnsi="Aptos" w:cs="Times New Roman"/>
          <w:color w:val="000000"/>
          <w:sz w:val="24"/>
          <w:szCs w:val="24"/>
          <w:lang w:val="pl-PL" w:eastAsia="pl-PL"/>
        </w:rPr>
        <w:t xml:space="preserve"> dotyczy sytuacji, w której produktu, materiału lub substancji nie można użyć ponownie lub naprawić / zregenerować, a powstałe w wyniku takiej sytuacji odpady nie mogą zostać ponownie użyte ani nie mogą utracić statusu odpadu. Odpady takie należy skierować do przetworzenia celem ponownego wykorzystania w pierwotnym celu lub przekształcić w nowe materiały i produkty. Za zgodny z zasadą należy też uznać recykling organiczny polegający na obróbce tlenowej lub beztlenowej odpadów. Stosowanie zasady powinno być potwierdzone wskazaniem konkretnych materiałów, substancji lub produktów, które w trakcie lub w wyniku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xml:space="preserve"> zostały skierowane do recyklingu, a co do których niemożliwe było zastosowanie zasad: „</w:t>
      </w:r>
      <w:proofErr w:type="spellStart"/>
      <w:r w:rsidRPr="001C5F3C">
        <w:rPr>
          <w:rFonts w:ascii="Aptos" w:eastAsia="Times New Roman" w:hAnsi="Aptos" w:cs="Times New Roman"/>
          <w:color w:val="000000"/>
          <w:sz w:val="24"/>
          <w:szCs w:val="24"/>
          <w:lang w:val="pl-PL" w:eastAsia="pl-PL"/>
        </w:rPr>
        <w:t>reuse</w:t>
      </w:r>
      <w:proofErr w:type="spellEnd"/>
      <w:r w:rsidRPr="001C5F3C">
        <w:rPr>
          <w:rFonts w:ascii="Aptos" w:eastAsia="Times New Roman" w:hAnsi="Aptos" w:cs="Times New Roman"/>
          <w:color w:val="000000"/>
          <w:sz w:val="24"/>
          <w:szCs w:val="24"/>
          <w:lang w:val="pl-PL" w:eastAsia="pl-PL"/>
        </w:rPr>
        <w:t>” lub „</w:t>
      </w:r>
      <w:proofErr w:type="spellStart"/>
      <w:r w:rsidRPr="001C5F3C">
        <w:rPr>
          <w:rFonts w:ascii="Aptos" w:eastAsia="Times New Roman" w:hAnsi="Aptos" w:cs="Times New Roman"/>
          <w:color w:val="000000"/>
          <w:sz w:val="24"/>
          <w:szCs w:val="24"/>
          <w:lang w:val="pl-PL" w:eastAsia="pl-PL"/>
        </w:rPr>
        <w:t>recover</w:t>
      </w:r>
      <w:proofErr w:type="spellEnd"/>
      <w:r w:rsidRPr="001C5F3C">
        <w:rPr>
          <w:rFonts w:ascii="Aptos" w:eastAsia="Times New Roman" w:hAnsi="Aptos" w:cs="Times New Roman"/>
          <w:color w:val="000000"/>
          <w:sz w:val="24"/>
          <w:szCs w:val="24"/>
          <w:lang w:val="pl-PL" w:eastAsia="pl-PL"/>
        </w:rPr>
        <w:t xml:space="preserve">”. Zmiana może dotyczyć sprzętu i maszyn. Za zgodne z zasadą uznane zostanie wykorzystanie w działalności materiałów, substancji lub produktów, które pochodzą z recyklingu, w tym po utracie statusu odpadów. Należy wykazać ilość materiałów, substancji lub produktów skierowanych do recyklingu lub które pochodzą z recyklingu i zostały wykorzystane w działalności Wnioskodawcy w trakcie lub w wyniku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xml:space="preserve">. Stosowanie zasady może być też </w:t>
      </w:r>
      <w:r w:rsidRPr="001C5F3C">
        <w:rPr>
          <w:rFonts w:ascii="Aptos" w:eastAsia="Times New Roman" w:hAnsi="Aptos" w:cs="Times New Roman"/>
          <w:color w:val="000000"/>
          <w:sz w:val="24"/>
          <w:szCs w:val="24"/>
          <w:lang w:val="pl-PL" w:eastAsia="pl-PL"/>
        </w:rPr>
        <w:lastRenderedPageBreak/>
        <w:t>potwierdzone prowadzeniem badań dotyczących zaawansowanych technologii recyklingu. </w:t>
      </w:r>
    </w:p>
    <w:p w14:paraId="6C95644B" w14:textId="77777777" w:rsidR="001C5F3C" w:rsidRPr="001C5F3C" w:rsidRDefault="001C5F3C" w:rsidP="001C5F3C">
      <w:pPr>
        <w:spacing w:after="0" w:line="240" w:lineRule="auto"/>
        <w:rPr>
          <w:rFonts w:ascii="Aptos" w:eastAsia="Times New Roman" w:hAnsi="Aptos" w:cs="Times New Roman"/>
          <w:sz w:val="24"/>
          <w:szCs w:val="24"/>
          <w:lang w:val="pl-PL" w:eastAsia="pl-PL"/>
        </w:rPr>
      </w:pPr>
    </w:p>
    <w:p w14:paraId="3A3593B2" w14:textId="77777777" w:rsidR="001C5F3C" w:rsidRPr="001C5F3C" w:rsidRDefault="001C5F3C" w:rsidP="001C5F3C">
      <w:pPr>
        <w:spacing w:after="0" w:line="240" w:lineRule="auto"/>
        <w:jc w:val="both"/>
        <w:rPr>
          <w:rFonts w:ascii="Aptos" w:eastAsia="Times New Roman" w:hAnsi="Aptos" w:cs="Times New Roman"/>
          <w:sz w:val="24"/>
          <w:szCs w:val="24"/>
          <w:lang w:val="pl-PL" w:eastAsia="pl-PL"/>
        </w:rPr>
      </w:pPr>
      <w:r w:rsidRPr="001C5F3C">
        <w:rPr>
          <w:rFonts w:ascii="Aptos" w:eastAsia="Times New Roman" w:hAnsi="Aptos" w:cs="Times New Roman"/>
          <w:color w:val="000000"/>
          <w:sz w:val="24"/>
          <w:szCs w:val="24"/>
          <w:lang w:val="pl-PL" w:eastAsia="pl-PL"/>
        </w:rPr>
        <w:t xml:space="preserve">Zgodnie z zasadą </w:t>
      </w:r>
      <w:r w:rsidRPr="001C5F3C">
        <w:rPr>
          <w:rFonts w:ascii="Aptos" w:eastAsia="Times New Roman" w:hAnsi="Aptos" w:cs="Times New Roman"/>
          <w:b/>
          <w:bCs/>
          <w:color w:val="000000"/>
          <w:sz w:val="24"/>
          <w:szCs w:val="24"/>
          <w:lang w:val="pl-PL" w:eastAsia="pl-PL"/>
        </w:rPr>
        <w:t>„RETHINK (ZASTANÓW SIĘ CO MOŻESZ ZROBIĆ LEPIEJ)”</w:t>
      </w:r>
      <w:r w:rsidRPr="001C5F3C">
        <w:rPr>
          <w:rFonts w:ascii="Aptos" w:eastAsia="Times New Roman" w:hAnsi="Aptos" w:cs="Times New Roman"/>
          <w:color w:val="000000"/>
          <w:sz w:val="24"/>
          <w:szCs w:val="24"/>
          <w:lang w:val="pl-PL" w:eastAsia="pl-PL"/>
        </w:rPr>
        <w:t xml:space="preserve"> każdy, kto podejmuje działania powodujące lub mogące powodować powstanie odpadów lub oddziaływanie na środowisko, powinien takie działania zaplanować i zaprojektować przy użyciu takich sposobów produkcji lub form usług oraz surowców </w:t>
      </w:r>
      <w:r w:rsidRPr="001C5F3C">
        <w:rPr>
          <w:rFonts w:ascii="Aptos" w:eastAsia="Times New Roman" w:hAnsi="Aptos" w:cs="Times New Roman"/>
          <w:color w:val="000000"/>
          <w:sz w:val="24"/>
          <w:szCs w:val="24"/>
          <w:lang w:val="pl-PL" w:eastAsia="pl-PL"/>
        </w:rPr>
        <w:br/>
        <w:t xml:space="preserve">i materiałów, aby zapobiegać powstawaniu odpadów lub istotnie je ograniczać lub ograniczać ich negatywne oddziaływanie na życie i zdrowie ludzi oraz na środowisko. Istotą tej zasady jest planowanie i projektowanie z uwzględnieniem pełnego cyklu życia danego produktu lub usługi. W tym celu niezbędne jest identyfikowanie materiałów, substancji lub produktów będących głównymi źródłami oddziaływania na środowisko lub powstawania odpadów, a następnie podejmowanie działań w celu zapobiegania lub ograniczenia ich wykorzystania. Stosowanie zasady powinno być potwierdzone przeprowadzeniem badań i ocen w zakresie środowiskowej oceny cyklu życia, oceną śladu środowiskowego produktu, przeprowadzeniem innej certyfikacji środowiskowej, uzyskaniem oznakowania ekologicznego lub weryfikacji technologii środowiskowej dla wyrobu lub usługi, która wynika z realizacji </w:t>
      </w:r>
      <w:proofErr w:type="spellStart"/>
      <w:r w:rsidRPr="001C5F3C">
        <w:rPr>
          <w:rFonts w:ascii="Aptos" w:eastAsia="Times New Roman" w:hAnsi="Aptos" w:cs="Times New Roman"/>
          <w:color w:val="000000"/>
          <w:sz w:val="24"/>
          <w:szCs w:val="24"/>
          <w:lang w:val="pl-PL" w:eastAsia="pl-PL"/>
        </w:rPr>
        <w:t>Minigrantu</w:t>
      </w:r>
      <w:proofErr w:type="spellEnd"/>
      <w:r w:rsidRPr="001C5F3C">
        <w:rPr>
          <w:rFonts w:ascii="Aptos" w:eastAsia="Times New Roman" w:hAnsi="Aptos" w:cs="Times New Roman"/>
          <w:color w:val="000000"/>
          <w:sz w:val="24"/>
          <w:szCs w:val="24"/>
          <w:lang w:val="pl-PL" w:eastAsia="pl-PL"/>
        </w:rPr>
        <w:t>. Za zgodne z zasadą zostanie uznane prowadzenie zakupów zgodnie z kryteriami zielonych zamówień publicznych. </w:t>
      </w:r>
    </w:p>
    <w:p w14:paraId="346FF6A5" w14:textId="77777777" w:rsidR="001C5F3C" w:rsidRPr="001C5F3C" w:rsidRDefault="001C5F3C" w:rsidP="001C5F3C">
      <w:pPr>
        <w:spacing w:after="0" w:line="240" w:lineRule="auto"/>
        <w:rPr>
          <w:rFonts w:ascii="Aptos" w:eastAsia="Times New Roman" w:hAnsi="Aptos" w:cs="Times New Roman"/>
          <w:sz w:val="24"/>
          <w:szCs w:val="24"/>
          <w:lang w:val="pl-PL" w:eastAsia="pl-PL"/>
        </w:rPr>
      </w:pPr>
    </w:p>
    <w:p w14:paraId="07147B75" w14:textId="568A8280" w:rsidR="00000E11" w:rsidRPr="001C5F3C" w:rsidRDefault="00000E11">
      <w:pPr>
        <w:rPr>
          <w:rFonts w:ascii="Aptos" w:hAnsi="Aptos"/>
          <w:sz w:val="24"/>
          <w:szCs w:val="24"/>
        </w:rPr>
      </w:pPr>
    </w:p>
    <w:sectPr w:rsidR="00000E11" w:rsidRPr="001C5F3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6EEF" w14:textId="77777777" w:rsidR="00600E7B" w:rsidRDefault="00600E7B" w:rsidP="00807C66">
      <w:pPr>
        <w:spacing w:after="0" w:line="240" w:lineRule="auto"/>
      </w:pPr>
      <w:r>
        <w:separator/>
      </w:r>
    </w:p>
  </w:endnote>
  <w:endnote w:type="continuationSeparator" w:id="0">
    <w:p w14:paraId="3CBC453A" w14:textId="77777777" w:rsidR="00600E7B" w:rsidRDefault="00600E7B" w:rsidP="0080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439A" w14:textId="77777777" w:rsidR="00600E7B" w:rsidRDefault="00600E7B" w:rsidP="00807C66">
      <w:pPr>
        <w:spacing w:after="0" w:line="240" w:lineRule="auto"/>
      </w:pPr>
      <w:r>
        <w:separator/>
      </w:r>
    </w:p>
  </w:footnote>
  <w:footnote w:type="continuationSeparator" w:id="0">
    <w:p w14:paraId="04E556EE" w14:textId="77777777" w:rsidR="00600E7B" w:rsidRDefault="00600E7B" w:rsidP="00807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43F9" w14:textId="255F7E2F" w:rsidR="00807C66" w:rsidRDefault="00807C66">
    <w:pPr>
      <w:pStyle w:val="Nagwek"/>
    </w:pPr>
    <w:r>
      <w:rPr>
        <w:rFonts w:ascii="Calibri" w:hAnsi="Calibri" w:cs="Calibri"/>
        <w:noProof/>
        <w:color w:val="000000"/>
        <w:bdr w:val="none" w:sz="0" w:space="0" w:color="auto" w:frame="1"/>
      </w:rPr>
      <w:drawing>
        <wp:inline distT="0" distB="0" distL="0" distR="0" wp14:anchorId="5B788958" wp14:editId="7C95AB20">
          <wp:extent cx="5486400" cy="539448"/>
          <wp:effectExtent l="0" t="0" r="0" b="0"/>
          <wp:docPr id="3"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394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234627831">
    <w:abstractNumId w:val="8"/>
  </w:num>
  <w:num w:numId="2" w16cid:durableId="674310420">
    <w:abstractNumId w:val="6"/>
  </w:num>
  <w:num w:numId="3" w16cid:durableId="1449816450">
    <w:abstractNumId w:val="5"/>
  </w:num>
  <w:num w:numId="4" w16cid:durableId="1922912469">
    <w:abstractNumId w:val="4"/>
  </w:num>
  <w:num w:numId="5" w16cid:durableId="213469798">
    <w:abstractNumId w:val="7"/>
  </w:num>
  <w:num w:numId="6" w16cid:durableId="370695535">
    <w:abstractNumId w:val="3"/>
  </w:num>
  <w:num w:numId="7" w16cid:durableId="1350571711">
    <w:abstractNumId w:val="2"/>
  </w:num>
  <w:num w:numId="8" w16cid:durableId="1467890594">
    <w:abstractNumId w:val="1"/>
  </w:num>
  <w:num w:numId="9" w16cid:durableId="90002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E11"/>
    <w:rsid w:val="00034616"/>
    <w:rsid w:val="0006063C"/>
    <w:rsid w:val="0015074B"/>
    <w:rsid w:val="001C5F3C"/>
    <w:rsid w:val="0029639D"/>
    <w:rsid w:val="00326F90"/>
    <w:rsid w:val="00600E7B"/>
    <w:rsid w:val="00807C66"/>
    <w:rsid w:val="00940B1C"/>
    <w:rsid w:val="00AA1D8D"/>
    <w:rsid w:val="00B47730"/>
    <w:rsid w:val="00CB0664"/>
    <w:rsid w:val="00F726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96C20"/>
  <w14:defaultImageDpi w14:val="300"/>
  <w15:docId w15:val="{DA8243AA-3BBD-CC42-B2DA-753952C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1C5F3C"/>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839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1008</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Alina Jaworska</cp:lastModifiedBy>
  <cp:revision>3</cp:revision>
  <dcterms:created xsi:type="dcterms:W3CDTF">2013-12-23T23:15:00Z</dcterms:created>
  <dcterms:modified xsi:type="dcterms:W3CDTF">2025-10-01T08:53:00Z</dcterms:modified>
  <cp:category/>
</cp:coreProperties>
</file>